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55C" w:rsidRDefault="0034455C">
      <w:pPr>
        <w:pStyle w:val="Ttulo"/>
      </w:pPr>
    </w:p>
    <w:p w:rsidR="00A10484" w:rsidRDefault="0034455C">
      <w:pPr>
        <w:pStyle w:val="Ttulo"/>
      </w:pPr>
      <w:r>
        <w:t>Lei n.º 1-A/2020 de 19 de março</w:t>
      </w:r>
    </w:p>
    <w:p w:rsidR="00855982" w:rsidRPr="00855982" w:rsidRDefault="0034455C" w:rsidP="005A1EB0">
      <w:pPr>
        <w:pStyle w:val="Ttulo1"/>
        <w:jc w:val="both"/>
      </w:pPr>
      <w:r>
        <w:t>Medidas excecionais e temporárias de resposta à situação epidemiológica provocada pelo coronavírus SARS -</w:t>
      </w:r>
      <w:proofErr w:type="spellStart"/>
      <w:r>
        <w:t>CoV</w:t>
      </w:r>
      <w:proofErr w:type="spellEnd"/>
      <w:r>
        <w:t xml:space="preserve"> -2 e da doença COVID -19</w:t>
      </w:r>
    </w:p>
    <w:p w:rsidR="00855982" w:rsidRDefault="005A1EB0" w:rsidP="005A1EB0">
      <w:pPr>
        <w:rPr>
          <w:b/>
          <w:bCs/>
        </w:rPr>
      </w:pPr>
      <w:r w:rsidRPr="005A1EB0">
        <w:rPr>
          <w:b/>
          <w:bCs/>
          <w:highlight w:val="lightGray"/>
        </w:rPr>
        <w:t>Órgãos do poder local</w:t>
      </w:r>
    </w:p>
    <w:p w:rsidR="005A1EB0" w:rsidRPr="005A1EB0" w:rsidRDefault="005A1EB0" w:rsidP="005A1EB0">
      <w:pPr>
        <w:pStyle w:val="PargrafodaLista"/>
        <w:numPr>
          <w:ilvl w:val="0"/>
          <w:numId w:val="30"/>
        </w:numPr>
        <w:spacing w:before="120" w:line="360" w:lineRule="auto"/>
        <w:ind w:left="714" w:hanging="357"/>
        <w:jc w:val="both"/>
        <w:rPr>
          <w:b/>
          <w:bCs/>
        </w:rPr>
      </w:pPr>
      <w:r>
        <w:t xml:space="preserve">As reuniões ordinárias dos órgãos deliberativos e executivos das autarquias locais e das entidades intermunicipais previstas para os meses de abril e maio </w:t>
      </w:r>
      <w:r w:rsidRPr="0038282C">
        <w:rPr>
          <w:u w:val="single"/>
        </w:rPr>
        <w:t>podem realizar-se até 30 de junho de 2020</w:t>
      </w:r>
    </w:p>
    <w:p w:rsidR="005A1EB0" w:rsidRPr="0038282C" w:rsidRDefault="005A1EB0" w:rsidP="005A1EB0">
      <w:pPr>
        <w:pStyle w:val="PargrafodaLista"/>
        <w:numPr>
          <w:ilvl w:val="0"/>
          <w:numId w:val="30"/>
        </w:numPr>
        <w:spacing w:before="120" w:line="360" w:lineRule="auto"/>
        <w:ind w:left="714" w:hanging="357"/>
        <w:jc w:val="both"/>
        <w:rPr>
          <w:b/>
          <w:bCs/>
        </w:rPr>
      </w:pPr>
      <w:r>
        <w:t xml:space="preserve">A obrigatoriedade de </w:t>
      </w:r>
      <w:r w:rsidRPr="003845A7">
        <w:rPr>
          <w:u w:val="single"/>
        </w:rPr>
        <w:t>realização pública das reuniões dos órgãos deliberativos e executivos</w:t>
      </w:r>
      <w:r>
        <w:t xml:space="preserve"> dos municípios e das freguesias e dos órgãos deliberativos das entidades intermunicipais, conforme previsto </w:t>
      </w:r>
      <w:r w:rsidR="003845A7">
        <w:t>no</w:t>
      </w:r>
      <w:r>
        <w:t xml:space="preserve"> regime jurídico das autarquias locais, aprovado em anexo à Lei n.º 75/2013, de 12 de setembro, </w:t>
      </w:r>
      <w:r w:rsidRPr="003845A7">
        <w:rPr>
          <w:u w:val="single"/>
        </w:rPr>
        <w:t>fica suspensa até ao dia 30 de junho de 2020</w:t>
      </w:r>
      <w:r>
        <w:t>, sem prejuízo da sua gravação e colocação no sítio eletrónico da autarquia sempre que tecnicamente viável</w:t>
      </w:r>
    </w:p>
    <w:p w:rsidR="0038282C" w:rsidRPr="0038282C" w:rsidRDefault="0038282C" w:rsidP="005A1EB0">
      <w:pPr>
        <w:pStyle w:val="PargrafodaLista"/>
        <w:numPr>
          <w:ilvl w:val="0"/>
          <w:numId w:val="30"/>
        </w:numPr>
        <w:spacing w:before="120" w:line="360" w:lineRule="auto"/>
        <w:ind w:left="714" w:hanging="357"/>
        <w:jc w:val="both"/>
        <w:rPr>
          <w:b/>
          <w:bCs/>
        </w:rPr>
      </w:pPr>
      <w:r>
        <w:t>Até dia 30 de junho de 2020, podem ser realizadas por videoconferência, ou outro meio digital, as reuniões dos</w:t>
      </w:r>
      <w:bookmarkStart w:id="0" w:name="_GoBack"/>
      <w:bookmarkEnd w:id="0"/>
      <w:r>
        <w:t xml:space="preserve"> órgãos deliberativos e executivos das autarquias locais e das entidades intermunicipais, desde que haja condições técnicas para o efeito</w:t>
      </w:r>
    </w:p>
    <w:p w:rsidR="00404ED2" w:rsidRPr="00404ED2" w:rsidRDefault="0038282C" w:rsidP="005A1EB0">
      <w:pPr>
        <w:pStyle w:val="PargrafodaLista"/>
        <w:numPr>
          <w:ilvl w:val="0"/>
          <w:numId w:val="30"/>
        </w:numPr>
        <w:spacing w:before="120" w:line="360" w:lineRule="auto"/>
        <w:ind w:left="714" w:hanging="357"/>
        <w:jc w:val="both"/>
        <w:rPr>
          <w:b/>
          <w:bCs/>
        </w:rPr>
      </w:pPr>
      <w:r>
        <w:t>As entidades</w:t>
      </w:r>
      <w:r w:rsidR="00404ED2">
        <w:t xml:space="preserve"> (nomeadamente autarquias locais e suas associações)</w:t>
      </w:r>
      <w:r>
        <w:t xml:space="preserve">, cuja aprovação de contas dependa de deliberação de um órgão colegial, podem remetê-las ao Tribunal de Contas </w:t>
      </w:r>
      <w:r w:rsidRPr="003845A7">
        <w:rPr>
          <w:u w:val="single"/>
        </w:rPr>
        <w:t>até 30 de junho de 2020</w:t>
      </w:r>
      <w:r>
        <w:t>, em substituição do prazo referido no n.º 4 do artigo 52.º</w:t>
      </w:r>
      <w:r w:rsidR="00404ED2">
        <w:t xml:space="preserve"> (30 de abril)</w:t>
      </w:r>
    </w:p>
    <w:p w:rsidR="00404ED2" w:rsidRPr="00404ED2" w:rsidRDefault="00404ED2" w:rsidP="00404ED2">
      <w:pPr>
        <w:pStyle w:val="PargrafodaLista"/>
        <w:spacing w:before="120" w:line="360" w:lineRule="auto"/>
        <w:ind w:left="714"/>
        <w:jc w:val="both"/>
        <w:rPr>
          <w:b/>
          <w:bCs/>
        </w:rPr>
      </w:pPr>
    </w:p>
    <w:p w:rsidR="0038282C" w:rsidRDefault="00404ED2" w:rsidP="00404ED2">
      <w:pPr>
        <w:rPr>
          <w:b/>
          <w:bCs/>
          <w:highlight w:val="lightGray"/>
        </w:rPr>
      </w:pPr>
      <w:r w:rsidRPr="00404ED2">
        <w:rPr>
          <w:b/>
          <w:bCs/>
          <w:highlight w:val="lightGray"/>
        </w:rPr>
        <w:t>Órgãos colegiais</w:t>
      </w:r>
    </w:p>
    <w:p w:rsidR="00404ED2" w:rsidRPr="003642D5" w:rsidRDefault="00404ED2" w:rsidP="00404ED2">
      <w:pPr>
        <w:pStyle w:val="PargrafodaLista"/>
        <w:numPr>
          <w:ilvl w:val="0"/>
          <w:numId w:val="30"/>
        </w:numPr>
        <w:spacing w:before="120" w:line="360" w:lineRule="auto"/>
        <w:ind w:left="714" w:hanging="357"/>
        <w:jc w:val="both"/>
        <w:rPr>
          <w:b/>
          <w:bCs/>
        </w:rPr>
      </w:pPr>
      <w:r>
        <w:t xml:space="preserve">A participação por meios telemáticos, designadamente vídeo ou teleconferência de membros de órgãos colegiais de entidades públicas ou privadas nas respetivas reuniões, não obsta ao regular funcionamento do órgão, designadamente no que respeita a </w:t>
      </w:r>
      <w:r w:rsidRPr="00404ED2">
        <w:rPr>
          <w:u w:val="single"/>
        </w:rPr>
        <w:t>quórum e a deliberações</w:t>
      </w:r>
      <w:r>
        <w:t xml:space="preserve">, devendo, contudo, </w:t>
      </w:r>
      <w:r w:rsidRPr="00404ED2">
        <w:rPr>
          <w:u w:val="single"/>
        </w:rPr>
        <w:t>ficar registado na respetiva ata a forma de participação</w:t>
      </w:r>
    </w:p>
    <w:p w:rsidR="003642D5" w:rsidRPr="003642D5" w:rsidRDefault="003642D5" w:rsidP="003642D5">
      <w:pPr>
        <w:spacing w:before="120" w:line="360" w:lineRule="auto"/>
        <w:jc w:val="both"/>
        <w:rPr>
          <w:b/>
          <w:bCs/>
        </w:rPr>
      </w:pPr>
    </w:p>
    <w:p w:rsidR="00FD5E2B" w:rsidRDefault="00FD5E2B" w:rsidP="00404ED2"/>
    <w:p w:rsidR="00404ED2" w:rsidRDefault="003642D5" w:rsidP="00404ED2">
      <w:pPr>
        <w:rPr>
          <w:b/>
          <w:bCs/>
          <w:highlight w:val="lightGray"/>
        </w:rPr>
      </w:pPr>
      <w:r w:rsidRPr="00FD5E2B">
        <w:rPr>
          <w:b/>
          <w:bCs/>
          <w:highlight w:val="lightGray"/>
        </w:rPr>
        <w:lastRenderedPageBreak/>
        <w:t>Prestação de provas públicas</w:t>
      </w:r>
    </w:p>
    <w:p w:rsidR="00FD5E2B" w:rsidRPr="00FD5E2B" w:rsidRDefault="00FD5E2B" w:rsidP="00FD5E2B">
      <w:pPr>
        <w:pStyle w:val="PargrafodaLista"/>
        <w:numPr>
          <w:ilvl w:val="0"/>
          <w:numId w:val="30"/>
        </w:numPr>
        <w:spacing w:before="120" w:line="360" w:lineRule="auto"/>
        <w:ind w:left="714" w:hanging="357"/>
        <w:jc w:val="both"/>
      </w:pPr>
      <w:r>
        <w:t>A prestação de provas públicas previstas em regimes gerais ou especiais pode ser realizada por videoconferência, desde que haja acordo entre o júri e o respetivo candidato e as condições técnicas para o efeito</w:t>
      </w:r>
    </w:p>
    <w:p w:rsidR="00FD5E2B" w:rsidRDefault="00FD5E2B" w:rsidP="00404ED2">
      <w:pPr>
        <w:rPr>
          <w:b/>
          <w:bCs/>
          <w:highlight w:val="lightGray"/>
        </w:rPr>
      </w:pPr>
    </w:p>
    <w:p w:rsidR="00FD5E2B" w:rsidRDefault="00FD5E2B" w:rsidP="00404ED2">
      <w:pPr>
        <w:rPr>
          <w:b/>
          <w:bCs/>
          <w:highlight w:val="lightGray"/>
        </w:rPr>
      </w:pPr>
      <w:r w:rsidRPr="00FD5E2B">
        <w:rPr>
          <w:b/>
          <w:bCs/>
          <w:highlight w:val="lightGray"/>
        </w:rPr>
        <w:t>Fiscalização preventiva</w:t>
      </w:r>
    </w:p>
    <w:p w:rsidR="00FD5E2B" w:rsidRDefault="00FD5E2B" w:rsidP="00FD5E2B">
      <w:pPr>
        <w:pStyle w:val="PargrafodaLista"/>
        <w:numPr>
          <w:ilvl w:val="0"/>
          <w:numId w:val="30"/>
        </w:numPr>
        <w:spacing w:before="120" w:line="360" w:lineRule="auto"/>
        <w:ind w:left="714" w:hanging="357"/>
        <w:jc w:val="both"/>
      </w:pPr>
      <w:r>
        <w:t>Sem prejuízo dos regimes de fiscalização concomitante e de fiscalização sucessiva previstos na Lei n.º 98/97, de 26 de agosto, ficam isentos da fiscalização prévia do Tribunal de Contas os contratos abrangidos pelo Decreto -Lei n.º 10 -A/2020, de 13 de março (</w:t>
      </w:r>
      <w:r w:rsidR="00786051" w:rsidRPr="00786051">
        <w:rPr>
          <w:sz w:val="18"/>
          <w:szCs w:val="18"/>
        </w:rPr>
        <w:t xml:space="preserve">As medidas excecionais previstas nos capítulos II e III são aplicáveis às entidades do setor público empresarial e do setor público administrativo, </w:t>
      </w:r>
      <w:r w:rsidR="00786051" w:rsidRPr="00786051">
        <w:rPr>
          <w:sz w:val="18"/>
          <w:szCs w:val="18"/>
          <w:u w:val="single"/>
        </w:rPr>
        <w:t>bem como, com as necessárias adaptações, às autarquias locais</w:t>
      </w:r>
      <w:r w:rsidR="00786051">
        <w:t>)</w:t>
      </w:r>
      <w:r>
        <w:t>, durante o período de vigência da presente lei</w:t>
      </w:r>
      <w:r w:rsidR="00786051">
        <w:t>. Estes contratos devem ser remetidos ao Tribunal de Contas, para conhecimento, até 30 dias após a respetiva celebração</w:t>
      </w:r>
    </w:p>
    <w:p w:rsidR="00786051" w:rsidRPr="00FD5E2B" w:rsidRDefault="00786051" w:rsidP="00FD5E2B">
      <w:pPr>
        <w:pStyle w:val="PargrafodaLista"/>
        <w:numPr>
          <w:ilvl w:val="0"/>
          <w:numId w:val="30"/>
        </w:numPr>
        <w:spacing w:before="120" w:line="360" w:lineRule="auto"/>
        <w:ind w:left="714" w:hanging="357"/>
        <w:jc w:val="both"/>
      </w:pPr>
      <w:r>
        <w:t>Não são suspensos os prazos relativos a processos de fiscalização prévia pendentes ou que devam ser remetidos ao Tribunal de Contas durante o período de vigência da presente lei</w:t>
      </w:r>
    </w:p>
    <w:p w:rsidR="00FD5E2B" w:rsidRDefault="00FD5E2B" w:rsidP="00404ED2">
      <w:pPr>
        <w:rPr>
          <w:b/>
          <w:bCs/>
          <w:highlight w:val="lightGray"/>
        </w:rPr>
      </w:pPr>
    </w:p>
    <w:p w:rsidR="001F5F78" w:rsidRDefault="001F5F78" w:rsidP="00404ED2">
      <w:pPr>
        <w:rPr>
          <w:b/>
          <w:bCs/>
          <w:highlight w:val="lightGray"/>
        </w:rPr>
      </w:pPr>
      <w:r w:rsidRPr="001F5F78">
        <w:rPr>
          <w:b/>
          <w:bCs/>
          <w:highlight w:val="lightGray"/>
        </w:rPr>
        <w:t>Prazos e diligências</w:t>
      </w:r>
    </w:p>
    <w:p w:rsidR="001F5F78" w:rsidRDefault="001F5F78" w:rsidP="001F5F78">
      <w:pPr>
        <w:pStyle w:val="PargrafodaLista"/>
        <w:numPr>
          <w:ilvl w:val="0"/>
          <w:numId w:val="30"/>
        </w:numPr>
        <w:spacing w:before="120" w:line="360" w:lineRule="auto"/>
        <w:ind w:left="714" w:hanging="357"/>
        <w:jc w:val="both"/>
      </w:pPr>
      <w:r>
        <w:t>Aos atos processuais e procedimentais que devam ser praticados no âmbito dos processos e procedimentos, que corram termos nos tribunais judiciais, tribunais administrativos e fiscais, Tribunal Constitucional, Tribunal de Contas e demais órgãos jurisdicionais, tribunais arbitrais, Ministério Público, julgados de paz, entidades de resolução alternativa de litígios e órgãos de execução fiscal, aplica -se o regime das férias judiciais até à cessação da situação excecional de prevenção, contenção, mitigação e tratamento da infeção epidemiológica por SARS -</w:t>
      </w:r>
      <w:proofErr w:type="spellStart"/>
      <w:r>
        <w:t>CoV</w:t>
      </w:r>
      <w:proofErr w:type="spellEnd"/>
      <w:r>
        <w:t xml:space="preserve"> -2 e da doença COVID -19, conforme determinada pela autoridade nacional de saúde pública.</w:t>
      </w:r>
    </w:p>
    <w:p w:rsidR="001F5F78" w:rsidRDefault="001F5F78" w:rsidP="001F5F78">
      <w:pPr>
        <w:pStyle w:val="PargrafodaLista"/>
        <w:numPr>
          <w:ilvl w:val="0"/>
          <w:numId w:val="30"/>
        </w:numPr>
        <w:spacing w:before="120" w:line="360" w:lineRule="auto"/>
        <w:ind w:left="714" w:hanging="357"/>
        <w:jc w:val="both"/>
      </w:pPr>
      <w:r>
        <w:t>Este regime cessa em data a definir por decreto-lei, no qual se declara o termo da situação excecional</w:t>
      </w:r>
    </w:p>
    <w:p w:rsidR="001F5F78" w:rsidRDefault="001F5F78" w:rsidP="001F5F78">
      <w:pPr>
        <w:pStyle w:val="PargrafodaLista"/>
        <w:numPr>
          <w:ilvl w:val="0"/>
          <w:numId w:val="30"/>
        </w:numPr>
        <w:spacing w:before="120" w:line="360" w:lineRule="auto"/>
        <w:ind w:left="714" w:hanging="357"/>
        <w:jc w:val="both"/>
      </w:pPr>
      <w:r>
        <w:t>A situação excecional constitui igualmente causa de suspensão dos prazos de prescrição e de caducidade relativos a todos os tipos de processos e procedimentos. Prevalece sobre quaisquer regimes que estabeleçam prazos máximos imperativos de prescrição ou caducidade, sendo os mesmos alargados pelo período de tempo em que vigorar a situação excecional</w:t>
      </w:r>
    </w:p>
    <w:p w:rsidR="001F5F78" w:rsidRDefault="001F5F78" w:rsidP="001F5F78">
      <w:pPr>
        <w:spacing w:before="120" w:line="360" w:lineRule="auto"/>
        <w:jc w:val="both"/>
      </w:pPr>
    </w:p>
    <w:p w:rsidR="00103239" w:rsidRDefault="00103239" w:rsidP="001F5F78">
      <w:pPr>
        <w:pStyle w:val="PargrafodaLista"/>
        <w:numPr>
          <w:ilvl w:val="0"/>
          <w:numId w:val="30"/>
        </w:numPr>
        <w:spacing w:before="120" w:line="360" w:lineRule="auto"/>
        <w:ind w:left="714" w:hanging="357"/>
        <w:jc w:val="both"/>
      </w:pPr>
      <w:r>
        <w:lastRenderedPageBreak/>
        <w:t xml:space="preserve">Nos processos urgentes os prazos suspendem-se, </w:t>
      </w:r>
      <w:r w:rsidRPr="00103239">
        <w:rPr>
          <w:b/>
          <w:bCs/>
        </w:rPr>
        <w:t>salvo</w:t>
      </w:r>
      <w:r>
        <w:t>:</w:t>
      </w:r>
    </w:p>
    <w:p w:rsidR="00103239" w:rsidRDefault="00103239" w:rsidP="00103239">
      <w:pPr>
        <w:pStyle w:val="PargrafodaLista"/>
        <w:spacing w:before="120" w:line="360" w:lineRule="auto"/>
        <w:jc w:val="both"/>
      </w:pPr>
      <w:r>
        <w:t>Sempre que tecnicamente viável, é admitida a prática de quaisquer atos processuais e procedimentais através de meios de comunicação à distância adequados, designadamente por teleconferência ou videochamada;</w:t>
      </w:r>
    </w:p>
    <w:p w:rsidR="00103239" w:rsidRDefault="00455C9A" w:rsidP="00103239">
      <w:pPr>
        <w:pStyle w:val="PargrafodaLista"/>
        <w:spacing w:before="120" w:line="360" w:lineRule="auto"/>
        <w:jc w:val="both"/>
      </w:pPr>
      <w:r>
        <w:t>R</w:t>
      </w:r>
      <w:r w:rsidR="00103239">
        <w:t>ealizam -se apenas presencialmente os atos e diligências urgentes em que estejam em causa direitos fundamentais, nomeadamente diligências processuais relativas a menores em risco ou a processos tutelares educativos de natureza urgente, diligências e julgamentos de arguidos presos, desde que a sua realização não implique a presença de um número de pessoas superior ao previsto pelas recomendações das autoridades de saúde e de acordo com as orientações fixadas pelos conselhos superiores competentes</w:t>
      </w:r>
    </w:p>
    <w:p w:rsidR="009310D0" w:rsidRDefault="009310D0" w:rsidP="001F5F78">
      <w:pPr>
        <w:pStyle w:val="PargrafodaLista"/>
        <w:numPr>
          <w:ilvl w:val="0"/>
          <w:numId w:val="30"/>
        </w:numPr>
        <w:spacing w:before="120" w:line="360" w:lineRule="auto"/>
        <w:ind w:left="714" w:hanging="357"/>
        <w:jc w:val="both"/>
      </w:pPr>
      <w:r>
        <w:t xml:space="preserve">O disposto </w:t>
      </w:r>
      <w:r w:rsidR="00A50C8C">
        <w:t>quanto aos prazos e diligências</w:t>
      </w:r>
      <w:r>
        <w:t xml:space="preserve"> aplica -se ainda, com as necessárias adaptações, a:</w:t>
      </w:r>
    </w:p>
    <w:p w:rsidR="009310D0" w:rsidRDefault="009310D0" w:rsidP="009310D0">
      <w:pPr>
        <w:pStyle w:val="PargrafodaLista"/>
        <w:spacing w:before="120" w:line="360" w:lineRule="auto"/>
        <w:ind w:left="714"/>
        <w:jc w:val="both"/>
      </w:pPr>
      <w:r>
        <w:t xml:space="preserve">a) Procedimentos que corram termos em cartórios notariais e conservatórias; </w:t>
      </w:r>
    </w:p>
    <w:p w:rsidR="009310D0" w:rsidRDefault="009310D0" w:rsidP="009310D0">
      <w:pPr>
        <w:pStyle w:val="PargrafodaLista"/>
        <w:spacing w:before="120" w:line="360" w:lineRule="auto"/>
        <w:ind w:left="714"/>
        <w:jc w:val="both"/>
      </w:pPr>
      <w:r>
        <w:t>b) Procedimentos contraordenacionais, sancionatórios e disciplinares, e respetivos atos e diligências que corram termos em serviços da administração direta, indireta, regional e autárquica, e demais entidades administrativas, designadamente entidades administrativas independentes, incluindo o Banco de Portugal e a Comissão do Mercado de Valores Mobiliários;</w:t>
      </w:r>
    </w:p>
    <w:p w:rsidR="00103239" w:rsidRDefault="009310D0" w:rsidP="009310D0">
      <w:pPr>
        <w:pStyle w:val="PargrafodaLista"/>
        <w:spacing w:before="120" w:line="360" w:lineRule="auto"/>
        <w:ind w:left="714"/>
        <w:jc w:val="both"/>
      </w:pPr>
      <w:r>
        <w:t>c) Prazos administrativos e tributários que corram a favor de particulares (dizem respeito apenas aos atos de interposição de impugnação judicial, reclamação graciosa, recurso hierárquico, ou outros procedimentos de idêntica natureza, bem como aos prazos para a prática de atos no âmbito dos mesmos procedimentos tributários.)</w:t>
      </w:r>
    </w:p>
    <w:p w:rsidR="00103239" w:rsidRDefault="009310D0" w:rsidP="001F5F78">
      <w:pPr>
        <w:pStyle w:val="PargrafodaLista"/>
        <w:numPr>
          <w:ilvl w:val="0"/>
          <w:numId w:val="30"/>
        </w:numPr>
        <w:spacing w:before="120" w:line="360" w:lineRule="auto"/>
        <w:ind w:left="714" w:hanging="357"/>
        <w:jc w:val="both"/>
      </w:pPr>
      <w:r>
        <w:t>São suspensas as ações de despejo, os procedimentos especiais de despejo e os processos para entrega de coisa imóvel arrendada, quando o arrendatário, por força da decisão judicial final a proferir, possa ser colocado em situação de fragilidade por falta de habitação própria</w:t>
      </w:r>
    </w:p>
    <w:p w:rsidR="00103239" w:rsidRDefault="00103239" w:rsidP="003827C0">
      <w:pPr>
        <w:pStyle w:val="PargrafodaLista"/>
        <w:spacing w:before="120" w:line="360" w:lineRule="auto"/>
        <w:ind w:left="714"/>
        <w:jc w:val="both"/>
      </w:pPr>
    </w:p>
    <w:p w:rsidR="001F5F78" w:rsidRDefault="003827C0" w:rsidP="00404ED2">
      <w:pPr>
        <w:rPr>
          <w:b/>
          <w:bCs/>
          <w:highlight w:val="lightGray"/>
        </w:rPr>
      </w:pPr>
      <w:r w:rsidRPr="003827C0">
        <w:rPr>
          <w:b/>
          <w:bCs/>
          <w:highlight w:val="lightGray"/>
        </w:rPr>
        <w:t>Prevalência</w:t>
      </w:r>
    </w:p>
    <w:p w:rsidR="003827C0" w:rsidRDefault="003827C0" w:rsidP="003827C0">
      <w:pPr>
        <w:pStyle w:val="PargrafodaLista"/>
        <w:numPr>
          <w:ilvl w:val="0"/>
          <w:numId w:val="30"/>
        </w:numPr>
        <w:spacing w:before="120" w:line="360" w:lineRule="auto"/>
        <w:ind w:left="714" w:hanging="357"/>
        <w:jc w:val="both"/>
      </w:pPr>
      <w:r>
        <w:t>Sem prejuízo das competências atribuídas pela Constituição e pela lei a órgãos de soberania de caráter eletivo, o disposto na presente lei, bem como no Decreto-Lei n.º 10 -A/2020, de 13 de março, prevalece sobre normas legais, gerais e especiais que disponham em sentido contrário, designadamente as constantes da lei do Orçamento do Estado.</w:t>
      </w:r>
    </w:p>
    <w:p w:rsidR="00622D1B" w:rsidRDefault="00622D1B" w:rsidP="00404ED2"/>
    <w:p w:rsidR="003827C0" w:rsidRPr="00622D1B" w:rsidRDefault="003827C0" w:rsidP="00622D1B">
      <w:pPr>
        <w:pStyle w:val="PargrafodaLista"/>
        <w:numPr>
          <w:ilvl w:val="0"/>
          <w:numId w:val="30"/>
        </w:numPr>
        <w:spacing w:before="120" w:line="360" w:lineRule="auto"/>
        <w:ind w:left="714" w:hanging="357"/>
        <w:jc w:val="both"/>
      </w:pPr>
      <w:r>
        <w:lastRenderedPageBreak/>
        <w:t>Aos trabalhadores com vínculo de emprego público continua a aplicar -se o disposto na alínea j) do n.º 2 do artigo 134.º da Lei Geral do Trabalho em Funções Públicos</w:t>
      </w:r>
      <w:r w:rsidR="00622D1B">
        <w:t xml:space="preserve"> </w:t>
      </w:r>
      <w:proofErr w:type="gramStart"/>
      <w:r w:rsidR="00622D1B">
        <w:t xml:space="preserve">( </w:t>
      </w:r>
      <w:r w:rsidR="00622D1B">
        <w:rPr>
          <w:rFonts w:ascii="Trebuchet MS" w:hAnsi="Trebuchet MS"/>
          <w:color w:val="000000"/>
          <w:sz w:val="16"/>
          <w:szCs w:val="16"/>
          <w:shd w:val="clear" w:color="auto" w:fill="FFFFFF"/>
        </w:rPr>
        <w:t>São</w:t>
      </w:r>
      <w:proofErr w:type="gramEnd"/>
      <w:r w:rsidR="00622D1B">
        <w:rPr>
          <w:rFonts w:ascii="Trebuchet MS" w:hAnsi="Trebuchet MS"/>
          <w:color w:val="000000"/>
          <w:sz w:val="16"/>
          <w:szCs w:val="16"/>
          <w:shd w:val="clear" w:color="auto" w:fill="FFFFFF"/>
        </w:rPr>
        <w:t xml:space="preserve"> consideradas faltas justificadas as motivadas por isolamento profilático)</w:t>
      </w:r>
      <w:r>
        <w:t>, aprovada em anexo à Lei n.º 35/2014, de 20 de junho, na sua redação atual.</w:t>
      </w:r>
    </w:p>
    <w:p w:rsidR="003827C0" w:rsidRDefault="003827C0" w:rsidP="00404ED2">
      <w:pPr>
        <w:rPr>
          <w:b/>
          <w:bCs/>
          <w:highlight w:val="lightGray"/>
        </w:rPr>
      </w:pPr>
    </w:p>
    <w:p w:rsidR="00622D1B" w:rsidRPr="00622D1B" w:rsidRDefault="00622D1B" w:rsidP="00404ED2">
      <w:pPr>
        <w:rPr>
          <w:b/>
          <w:bCs/>
          <w:highlight w:val="lightGray"/>
        </w:rPr>
      </w:pPr>
      <w:r w:rsidRPr="00622D1B">
        <w:rPr>
          <w:b/>
          <w:bCs/>
          <w:highlight w:val="lightGray"/>
        </w:rPr>
        <w:t>Produção de efeitos</w:t>
      </w:r>
    </w:p>
    <w:p w:rsidR="00622D1B" w:rsidRDefault="00622D1B" w:rsidP="00622D1B">
      <w:pPr>
        <w:pStyle w:val="PargrafodaLista"/>
        <w:numPr>
          <w:ilvl w:val="0"/>
          <w:numId w:val="30"/>
        </w:numPr>
        <w:spacing w:before="120" w:line="360" w:lineRule="auto"/>
        <w:ind w:left="714" w:hanging="357"/>
        <w:jc w:val="both"/>
      </w:pPr>
      <w:r>
        <w:t>A presente lei produz efeitos à data da produção de efeitos do Decreto-Lei n.º 10-A/2020, de 13 de março (este decreto-lei produz efeitos no dia da sua aprovação –12 de</w:t>
      </w:r>
      <w:r w:rsidR="0075270E">
        <w:t xml:space="preserve"> </w:t>
      </w:r>
      <w:r>
        <w:t>março-, com exceção do disposto nos artigos 14.º a 16.º, que produz efeitos desde 9 de março de 2020, e do disposto no capítulo VIII, que produz efeitos a 3 de março de 2020</w:t>
      </w:r>
      <w:r w:rsidR="00166506">
        <w:t>)</w:t>
      </w:r>
    </w:p>
    <w:p w:rsidR="00622D1B" w:rsidRPr="00404ED2" w:rsidRDefault="00622D1B" w:rsidP="00404ED2">
      <w:pPr>
        <w:rPr>
          <w:b/>
          <w:bCs/>
          <w:highlight w:val="lightGray"/>
        </w:rPr>
      </w:pPr>
    </w:p>
    <w:sectPr w:rsidR="00622D1B" w:rsidRPr="00404ED2" w:rsidSect="00855982">
      <w:headerReference w:type="default" r:id="rId10"/>
      <w:footerReference w:type="default" r:id="rId11"/>
      <w:headerReference w:type="first" r:id="rId12"/>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55C" w:rsidRDefault="0034455C" w:rsidP="00855982">
      <w:pPr>
        <w:spacing w:after="0" w:line="240" w:lineRule="auto"/>
      </w:pPr>
      <w:r>
        <w:separator/>
      </w:r>
    </w:p>
  </w:endnote>
  <w:endnote w:type="continuationSeparator" w:id="0">
    <w:p w:rsidR="0034455C" w:rsidRDefault="0034455C"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59961"/>
      <w:docPartObj>
        <w:docPartGallery w:val="Page Numbers (Bottom of Page)"/>
        <w:docPartUnique/>
      </w:docPartObj>
    </w:sdtPr>
    <w:sdtEndPr>
      <w:rPr>
        <w:noProof/>
      </w:rPr>
    </w:sdtEndPr>
    <w:sdtContent>
      <w:p w:rsidR="00855982" w:rsidRDefault="00855982">
        <w:pPr>
          <w:pStyle w:val="Rodap"/>
        </w:pPr>
        <w:r>
          <w:rPr>
            <w:lang w:bidi="pt-PT"/>
          </w:rPr>
          <w:fldChar w:fldCharType="begin"/>
        </w:r>
        <w:r>
          <w:rPr>
            <w:lang w:bidi="pt-PT"/>
          </w:rPr>
          <w:instrText xml:space="preserve"> PAGE   \* MERGEFORMAT </w:instrText>
        </w:r>
        <w:r>
          <w:rPr>
            <w:lang w:bidi="pt-PT"/>
          </w:rPr>
          <w:fldChar w:fldCharType="separate"/>
        </w:r>
        <w:r w:rsidR="00A547A4">
          <w:rPr>
            <w:noProof/>
            <w:lang w:bidi="pt-PT"/>
          </w:rPr>
          <w:t>1</w:t>
        </w:r>
        <w:r>
          <w:rPr>
            <w:noProof/>
            <w:lang w:bidi="pt-P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55C" w:rsidRDefault="0034455C" w:rsidP="00855982">
      <w:pPr>
        <w:spacing w:after="0" w:line="240" w:lineRule="auto"/>
      </w:pPr>
      <w:r>
        <w:separator/>
      </w:r>
    </w:p>
  </w:footnote>
  <w:footnote w:type="continuationSeparator" w:id="0">
    <w:p w:rsidR="0034455C" w:rsidRDefault="0034455C"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E2B" w:rsidRDefault="00FD5E2B">
    <w:pPr>
      <w:pStyle w:val="Cabealho"/>
    </w:pPr>
    <w:r>
      <w:rPr>
        <w:rFonts w:ascii="Arial Narrow" w:hAnsi="Arial Narrow"/>
        <w:b/>
        <w:noProof/>
      </w:rPr>
      <w:drawing>
        <wp:inline distT="0" distB="0" distL="0" distR="0" wp14:anchorId="327F99F1" wp14:editId="64417FBA">
          <wp:extent cx="1277830" cy="904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91" cy="91780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55C" w:rsidRDefault="0034455C">
    <w:pPr>
      <w:pStyle w:val="Cabealho"/>
    </w:pPr>
    <w:r>
      <w:rPr>
        <w:rFonts w:ascii="Arial Narrow" w:hAnsi="Arial Narrow"/>
        <w:b/>
        <w:noProof/>
      </w:rPr>
      <w:drawing>
        <wp:inline distT="0" distB="0" distL="0" distR="0">
          <wp:extent cx="1277830" cy="9048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91" cy="9178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go %1."/>
      <w:lvlJc w:val="left"/>
      <w:pPr>
        <w:ind w:left="0" w:firstLine="0"/>
      </w:pPr>
    </w:lvl>
    <w:lvl w:ilvl="1">
      <w:start w:val="1"/>
      <w:numFmt w:val="decimalZero"/>
      <w:isLgl/>
      <w:lvlText w:val="Sec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go %1."/>
      <w:lvlJc w:val="left"/>
      <w:pPr>
        <w:ind w:left="0" w:firstLine="0"/>
      </w:pPr>
    </w:lvl>
    <w:lvl w:ilvl="1">
      <w:start w:val="1"/>
      <w:numFmt w:val="decimalZero"/>
      <w:isLgl/>
      <w:lvlText w:val="Sec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9A3F7E"/>
    <w:multiLevelType w:val="multilevel"/>
    <w:tmpl w:val="04090023"/>
    <w:lvl w:ilvl="0">
      <w:start w:val="1"/>
      <w:numFmt w:val="upperRoman"/>
      <w:lvlText w:val="Artigo %1."/>
      <w:lvlJc w:val="left"/>
      <w:pPr>
        <w:ind w:left="0" w:firstLine="0"/>
      </w:pPr>
    </w:lvl>
    <w:lvl w:ilvl="1">
      <w:start w:val="1"/>
      <w:numFmt w:val="decimalZero"/>
      <w:isLgl/>
      <w:lvlText w:val="Sec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974051C"/>
    <w:multiLevelType w:val="hybridMultilevel"/>
    <w:tmpl w:val="B520124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0"/>
  </w:num>
  <w:num w:numId="14">
    <w:abstractNumId w:val="17"/>
  </w:num>
  <w:num w:numId="15">
    <w:abstractNumId w:val="11"/>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15"/>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5C"/>
    <w:rsid w:val="00103239"/>
    <w:rsid w:val="00166506"/>
    <w:rsid w:val="001D4362"/>
    <w:rsid w:val="001F5F78"/>
    <w:rsid w:val="0034455C"/>
    <w:rsid w:val="003642D5"/>
    <w:rsid w:val="003827C0"/>
    <w:rsid w:val="0038282C"/>
    <w:rsid w:val="003845A7"/>
    <w:rsid w:val="00404ED2"/>
    <w:rsid w:val="00455C9A"/>
    <w:rsid w:val="005A1EB0"/>
    <w:rsid w:val="00622D1B"/>
    <w:rsid w:val="0075270E"/>
    <w:rsid w:val="007833A7"/>
    <w:rsid w:val="00786051"/>
    <w:rsid w:val="00855982"/>
    <w:rsid w:val="009310D0"/>
    <w:rsid w:val="00A10484"/>
    <w:rsid w:val="00A50C8C"/>
    <w:rsid w:val="00A547A4"/>
    <w:rsid w:val="00F41964"/>
    <w:rsid w:val="00FD262C"/>
    <w:rsid w:val="00FD5E2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CCC0"/>
  <w15:chartTrackingRefBased/>
  <w15:docId w15:val="{B20D5FCE-5452-4FBA-A841-972E691F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Ttulo1">
    <w:name w:val="heading 1"/>
    <w:basedOn w:val="Normal"/>
    <w:next w:val="Normal"/>
    <w:link w:val="Ttulo1Carte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Ttulo2">
    <w:name w:val="heading 2"/>
    <w:basedOn w:val="Normal"/>
    <w:next w:val="Normal"/>
    <w:link w:val="Ttulo2Carte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Ttulo3">
    <w:name w:val="heading 3"/>
    <w:basedOn w:val="Normal"/>
    <w:next w:val="Normal"/>
    <w:link w:val="Ttulo3Carte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Ttulo4">
    <w:name w:val="heading 4"/>
    <w:basedOn w:val="Normal"/>
    <w:next w:val="Normal"/>
    <w:link w:val="Ttulo4Carte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arte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Ttulo6">
    <w:name w:val="heading 6"/>
    <w:basedOn w:val="Normal"/>
    <w:next w:val="Normal"/>
    <w:link w:val="Ttulo6Carte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Ttulo7">
    <w:name w:val="heading 7"/>
    <w:basedOn w:val="Normal"/>
    <w:next w:val="Normal"/>
    <w:link w:val="Ttulo7Carte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te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te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arte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tuloCarter">
    <w:name w:val="Título Caráter"/>
    <w:basedOn w:val="Tipodeletrapredefinidodopargrafo"/>
    <w:link w:val="Ttulo"/>
    <w:uiPriority w:val="1"/>
    <w:rsid w:val="00FD262C"/>
    <w:rPr>
      <w:rFonts w:asciiTheme="majorHAnsi" w:eastAsiaTheme="majorEastAsia" w:hAnsiTheme="majorHAnsi" w:cstheme="majorBidi"/>
      <w:sz w:val="56"/>
      <w:szCs w:val="56"/>
    </w:rPr>
  </w:style>
  <w:style w:type="paragraph" w:styleId="Cabealho">
    <w:name w:val="header"/>
    <w:basedOn w:val="Normal"/>
    <w:link w:val="CabealhoCarter"/>
    <w:uiPriority w:val="99"/>
    <w:unhideWhenUsed/>
    <w:rsid w:val="00855982"/>
    <w:pPr>
      <w:spacing w:after="0" w:line="240" w:lineRule="auto"/>
    </w:pPr>
  </w:style>
  <w:style w:type="character" w:customStyle="1" w:styleId="CabealhoCarter">
    <w:name w:val="Cabeçalho Caráter"/>
    <w:basedOn w:val="Tipodeletrapredefinidodopargrafo"/>
    <w:link w:val="Cabealho"/>
    <w:uiPriority w:val="99"/>
    <w:rsid w:val="00855982"/>
  </w:style>
  <w:style w:type="character" w:customStyle="1" w:styleId="Ttulo1Carter">
    <w:name w:val="Título 1 Caráter"/>
    <w:basedOn w:val="Tipodeletrapredefinidodopargrafo"/>
    <w:link w:val="Ttulo1"/>
    <w:uiPriority w:val="9"/>
    <w:rsid w:val="00FD262C"/>
    <w:rPr>
      <w:rFonts w:asciiTheme="majorHAnsi" w:eastAsiaTheme="majorEastAsia" w:hAnsiTheme="majorHAnsi" w:cstheme="majorBidi"/>
      <w:b/>
      <w:bCs/>
      <w:smallCaps/>
      <w:sz w:val="36"/>
      <w:szCs w:val="36"/>
    </w:rPr>
  </w:style>
  <w:style w:type="character" w:customStyle="1" w:styleId="Ttulo2Carter">
    <w:name w:val="Título 2 Caráter"/>
    <w:basedOn w:val="Tipodeletrapredefinidodopargrafo"/>
    <w:link w:val="Ttulo2"/>
    <w:uiPriority w:val="9"/>
    <w:semiHidden/>
    <w:rsid w:val="00FD262C"/>
    <w:rPr>
      <w:rFonts w:asciiTheme="majorHAnsi" w:eastAsiaTheme="majorEastAsia" w:hAnsiTheme="majorHAnsi" w:cstheme="majorBidi"/>
      <w:b/>
      <w:bCs/>
      <w:smallCaps/>
      <w:sz w:val="28"/>
      <w:szCs w:val="28"/>
    </w:rPr>
  </w:style>
  <w:style w:type="character" w:customStyle="1" w:styleId="Ttulo3Carter">
    <w:name w:val="Título 3 Caráter"/>
    <w:basedOn w:val="Tipodeletrapredefinidodopargrafo"/>
    <w:link w:val="Ttulo3"/>
    <w:uiPriority w:val="9"/>
    <w:semiHidden/>
    <w:rsid w:val="00FD262C"/>
    <w:rPr>
      <w:rFonts w:asciiTheme="majorHAnsi" w:eastAsiaTheme="majorEastAsia" w:hAnsiTheme="majorHAnsi" w:cstheme="majorBidi"/>
      <w:b/>
      <w:bCs/>
    </w:rPr>
  </w:style>
  <w:style w:type="character" w:customStyle="1" w:styleId="Ttulo4Carter">
    <w:name w:val="Título 4 Caráter"/>
    <w:basedOn w:val="Tipodeletrapredefinidodopargrafo"/>
    <w:link w:val="Ttulo4"/>
    <w:uiPriority w:val="9"/>
    <w:semiHidden/>
    <w:rsid w:val="00FD262C"/>
    <w:rPr>
      <w:rFonts w:asciiTheme="majorHAnsi" w:eastAsiaTheme="majorEastAsia" w:hAnsiTheme="majorHAnsi" w:cstheme="majorBidi"/>
      <w:b/>
      <w:bCs/>
      <w:i/>
      <w:iCs/>
    </w:rPr>
  </w:style>
  <w:style w:type="character" w:customStyle="1" w:styleId="Ttulo5Carter">
    <w:name w:val="Título 5 Caráter"/>
    <w:basedOn w:val="Tipodeletrapredefinidodopargrafo"/>
    <w:link w:val="Ttulo5"/>
    <w:uiPriority w:val="9"/>
    <w:semiHidden/>
    <w:rsid w:val="00FD262C"/>
    <w:rPr>
      <w:rFonts w:asciiTheme="majorHAnsi" w:eastAsiaTheme="majorEastAsia" w:hAnsiTheme="majorHAnsi" w:cstheme="majorBidi"/>
      <w:color w:val="404040" w:themeColor="text1" w:themeTint="BF"/>
    </w:rPr>
  </w:style>
  <w:style w:type="character" w:customStyle="1" w:styleId="Ttulo6Carter">
    <w:name w:val="Título 6 Caráter"/>
    <w:basedOn w:val="Tipodeletrapredefinidodopargrafo"/>
    <w:link w:val="Ttulo6"/>
    <w:uiPriority w:val="9"/>
    <w:semiHidden/>
    <w:rsid w:val="00FD262C"/>
    <w:rPr>
      <w:rFonts w:asciiTheme="majorHAnsi" w:eastAsiaTheme="majorEastAsia" w:hAnsiTheme="majorHAnsi" w:cstheme="majorBidi"/>
      <w:i/>
      <w:iCs/>
      <w:color w:val="404040" w:themeColor="text1" w:themeTint="BF"/>
    </w:rPr>
  </w:style>
  <w:style w:type="character" w:customStyle="1" w:styleId="Ttulo7Carter">
    <w:name w:val="Título 7 Caráter"/>
    <w:basedOn w:val="Tipodeletrapredefinidodopargrafo"/>
    <w:link w:val="Ttulo7"/>
    <w:uiPriority w:val="9"/>
    <w:semiHidden/>
    <w:rPr>
      <w:rFonts w:asciiTheme="majorHAnsi" w:eastAsiaTheme="majorEastAsia" w:hAnsiTheme="majorHAnsi" w:cstheme="majorBidi"/>
      <w:i/>
      <w:iCs/>
      <w:color w:val="404040" w:themeColor="text1" w:themeTint="BF"/>
    </w:rPr>
  </w:style>
  <w:style w:type="character" w:customStyle="1" w:styleId="Ttulo8Carter">
    <w:name w:val="Título 8 Caráter"/>
    <w:basedOn w:val="Tipodeletrapredefinidodopargrafo"/>
    <w:link w:val="Ttulo8"/>
    <w:uiPriority w:val="9"/>
    <w:semiHidden/>
    <w:rsid w:val="001D4362"/>
    <w:rPr>
      <w:rFonts w:asciiTheme="majorHAnsi" w:eastAsiaTheme="majorEastAsia" w:hAnsiTheme="majorHAnsi" w:cstheme="majorBidi"/>
      <w:color w:val="404040" w:themeColor="text1" w:themeTint="BF"/>
      <w:szCs w:val="20"/>
    </w:rPr>
  </w:style>
  <w:style w:type="character" w:customStyle="1" w:styleId="Ttulo9Carter">
    <w:name w:val="Título 9 Caráter"/>
    <w:basedOn w:val="Tipodeletrapredefinidodopargrafo"/>
    <w:link w:val="Ttulo9"/>
    <w:uiPriority w:val="9"/>
    <w:semiHidden/>
    <w:rsid w:val="001D4362"/>
    <w:rPr>
      <w:rFonts w:asciiTheme="majorHAnsi" w:eastAsiaTheme="majorEastAsia" w:hAnsiTheme="majorHAnsi" w:cstheme="majorBidi"/>
      <w:i/>
      <w:iCs/>
      <w:color w:val="404040" w:themeColor="text1" w:themeTint="BF"/>
      <w:szCs w:val="20"/>
    </w:rPr>
  </w:style>
  <w:style w:type="paragraph" w:styleId="Rodap">
    <w:name w:val="footer"/>
    <w:basedOn w:val="Normal"/>
    <w:link w:val="RodapCarter"/>
    <w:uiPriority w:val="99"/>
    <w:unhideWhenUsed/>
    <w:rsid w:val="00855982"/>
    <w:pPr>
      <w:spacing w:after="0" w:line="240" w:lineRule="auto"/>
    </w:pPr>
  </w:style>
  <w:style w:type="character" w:customStyle="1" w:styleId="RodapCarter">
    <w:name w:val="Rodapé Caráter"/>
    <w:basedOn w:val="Tipodeletrapredefinidodopargrafo"/>
    <w:link w:val="Rodap"/>
    <w:uiPriority w:val="99"/>
    <w:rsid w:val="00855982"/>
  </w:style>
  <w:style w:type="paragraph" w:styleId="Legenda">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Cabealhodondice">
    <w:name w:val="TOC Heading"/>
    <w:basedOn w:val="Ttulo1"/>
    <w:next w:val="Normal"/>
    <w:uiPriority w:val="39"/>
    <w:semiHidden/>
    <w:unhideWhenUsed/>
    <w:qFormat/>
    <w:pPr>
      <w:outlineLvl w:val="9"/>
    </w:pPr>
  </w:style>
  <w:style w:type="paragraph" w:styleId="Textodebalo">
    <w:name w:val="Balloon Text"/>
    <w:basedOn w:val="Normal"/>
    <w:link w:val="TextodebaloCarter"/>
    <w:uiPriority w:val="99"/>
    <w:semiHidden/>
    <w:unhideWhenUsed/>
    <w:rsid w:val="001D4362"/>
    <w:pPr>
      <w:spacing w:after="0" w:line="240" w:lineRule="auto"/>
    </w:pPr>
    <w:rPr>
      <w:rFonts w:ascii="Segoe UI" w:hAnsi="Segoe UI" w:cs="Segoe UI"/>
      <w:szCs w:val="18"/>
    </w:rPr>
  </w:style>
  <w:style w:type="character" w:customStyle="1" w:styleId="TextodebaloCarter">
    <w:name w:val="Texto de balão Caráter"/>
    <w:basedOn w:val="Tipodeletrapredefinidodopargrafo"/>
    <w:link w:val="Textodebalo"/>
    <w:uiPriority w:val="99"/>
    <w:semiHidden/>
    <w:rsid w:val="001D4362"/>
    <w:rPr>
      <w:rFonts w:ascii="Segoe UI" w:hAnsi="Segoe UI" w:cs="Segoe UI"/>
      <w:szCs w:val="18"/>
    </w:rPr>
  </w:style>
  <w:style w:type="paragraph" w:styleId="Corpodetexto3">
    <w:name w:val="Body Text 3"/>
    <w:basedOn w:val="Normal"/>
    <w:link w:val="Corpodetexto3Carter"/>
    <w:uiPriority w:val="99"/>
    <w:semiHidden/>
    <w:unhideWhenUsed/>
    <w:rsid w:val="001D4362"/>
    <w:pPr>
      <w:spacing w:after="120"/>
    </w:pPr>
    <w:rPr>
      <w:szCs w:val="16"/>
    </w:rPr>
  </w:style>
  <w:style w:type="character" w:customStyle="1" w:styleId="Corpodetexto3Carter">
    <w:name w:val="Corpo de texto 3 Caráter"/>
    <w:basedOn w:val="Tipodeletrapredefinidodopargrafo"/>
    <w:link w:val="Corpodetexto3"/>
    <w:uiPriority w:val="99"/>
    <w:semiHidden/>
    <w:rsid w:val="001D4362"/>
    <w:rPr>
      <w:szCs w:val="16"/>
    </w:rPr>
  </w:style>
  <w:style w:type="paragraph" w:styleId="Avanodecorpodetexto3">
    <w:name w:val="Body Text Indent 3"/>
    <w:basedOn w:val="Normal"/>
    <w:link w:val="Avanodecorpodetexto3Carter"/>
    <w:uiPriority w:val="99"/>
    <w:semiHidden/>
    <w:unhideWhenUsed/>
    <w:rsid w:val="001D4362"/>
    <w:pPr>
      <w:spacing w:after="120"/>
      <w:ind w:left="360"/>
    </w:pPr>
    <w:rPr>
      <w:szCs w:val="16"/>
    </w:rPr>
  </w:style>
  <w:style w:type="character" w:customStyle="1" w:styleId="Avanodecorpodetexto3Carter">
    <w:name w:val="Avanço de corpo de texto 3 Caráter"/>
    <w:basedOn w:val="Tipodeletrapredefinidodopargrafo"/>
    <w:link w:val="Avanodecorpodetexto3"/>
    <w:uiPriority w:val="99"/>
    <w:semiHidden/>
    <w:rsid w:val="001D4362"/>
    <w:rPr>
      <w:szCs w:val="16"/>
    </w:rPr>
  </w:style>
  <w:style w:type="character" w:styleId="Refdecomentrio">
    <w:name w:val="annotation reference"/>
    <w:basedOn w:val="Tipodeletrapredefinidodopargrafo"/>
    <w:uiPriority w:val="99"/>
    <w:semiHidden/>
    <w:unhideWhenUsed/>
    <w:rsid w:val="001D4362"/>
    <w:rPr>
      <w:sz w:val="22"/>
      <w:szCs w:val="16"/>
    </w:rPr>
  </w:style>
  <w:style w:type="paragraph" w:styleId="Textodecomentrio">
    <w:name w:val="annotation text"/>
    <w:basedOn w:val="Normal"/>
    <w:link w:val="TextodecomentrioCarter"/>
    <w:uiPriority w:val="99"/>
    <w:semiHidden/>
    <w:unhideWhenUsed/>
    <w:rsid w:val="001D4362"/>
    <w:pPr>
      <w:spacing w:line="240" w:lineRule="auto"/>
    </w:pPr>
    <w:rPr>
      <w:szCs w:val="20"/>
    </w:rPr>
  </w:style>
  <w:style w:type="character" w:customStyle="1" w:styleId="TextodecomentrioCarter">
    <w:name w:val="Texto de comentário Caráter"/>
    <w:basedOn w:val="Tipodeletrapredefinidodopargrafo"/>
    <w:link w:val="Textodecomentrio"/>
    <w:uiPriority w:val="99"/>
    <w:semiHidden/>
    <w:rsid w:val="001D4362"/>
    <w:rPr>
      <w:szCs w:val="20"/>
    </w:rPr>
  </w:style>
  <w:style w:type="paragraph" w:styleId="Assuntodecomentrio">
    <w:name w:val="annotation subject"/>
    <w:basedOn w:val="Textodecomentrio"/>
    <w:next w:val="Textodecomentrio"/>
    <w:link w:val="AssuntodecomentrioCarter"/>
    <w:uiPriority w:val="99"/>
    <w:semiHidden/>
    <w:unhideWhenUsed/>
    <w:rsid w:val="001D4362"/>
    <w:rPr>
      <w:b/>
      <w:bCs/>
    </w:rPr>
  </w:style>
  <w:style w:type="character" w:customStyle="1" w:styleId="AssuntodecomentrioCarter">
    <w:name w:val="Assunto de comentário Caráter"/>
    <w:basedOn w:val="TextodecomentrioCarter"/>
    <w:link w:val="Assuntodecomentrio"/>
    <w:uiPriority w:val="99"/>
    <w:semiHidden/>
    <w:rsid w:val="001D4362"/>
    <w:rPr>
      <w:b/>
      <w:bCs/>
      <w:szCs w:val="20"/>
    </w:rPr>
  </w:style>
  <w:style w:type="paragraph" w:styleId="Mapadodocumento">
    <w:name w:val="Document Map"/>
    <w:basedOn w:val="Normal"/>
    <w:link w:val="MapadodocumentoCarter"/>
    <w:uiPriority w:val="99"/>
    <w:semiHidden/>
    <w:unhideWhenUsed/>
    <w:rsid w:val="001D4362"/>
    <w:pPr>
      <w:spacing w:after="0" w:line="240" w:lineRule="auto"/>
    </w:pPr>
    <w:rPr>
      <w:rFonts w:ascii="Segoe UI" w:hAnsi="Segoe UI" w:cs="Segoe UI"/>
      <w:szCs w:val="16"/>
    </w:rPr>
  </w:style>
  <w:style w:type="character" w:customStyle="1" w:styleId="MapadodocumentoCarter">
    <w:name w:val="Mapa do documento Caráter"/>
    <w:basedOn w:val="Tipodeletrapredefinidodopargrafo"/>
    <w:link w:val="Mapadodocumento"/>
    <w:uiPriority w:val="99"/>
    <w:semiHidden/>
    <w:rsid w:val="001D4362"/>
    <w:rPr>
      <w:rFonts w:ascii="Segoe UI" w:hAnsi="Segoe UI" w:cs="Segoe UI"/>
      <w:szCs w:val="16"/>
    </w:rPr>
  </w:style>
  <w:style w:type="paragraph" w:styleId="Textodenotadefim">
    <w:name w:val="endnote text"/>
    <w:basedOn w:val="Normal"/>
    <w:link w:val="TextodenotadefimCarter"/>
    <w:uiPriority w:val="99"/>
    <w:semiHidden/>
    <w:unhideWhenUsed/>
    <w:rsid w:val="001D4362"/>
    <w:pPr>
      <w:spacing w:after="0" w:line="240" w:lineRule="auto"/>
    </w:pPr>
    <w:rPr>
      <w:szCs w:val="20"/>
    </w:rPr>
  </w:style>
  <w:style w:type="character" w:customStyle="1" w:styleId="TextodenotadefimCarter">
    <w:name w:val="Texto de nota de fim Caráter"/>
    <w:basedOn w:val="Tipodeletrapredefinidodopargrafo"/>
    <w:link w:val="Textodenotadefim"/>
    <w:uiPriority w:val="99"/>
    <w:semiHidden/>
    <w:rsid w:val="001D4362"/>
    <w:rPr>
      <w:szCs w:val="20"/>
    </w:rPr>
  </w:style>
  <w:style w:type="paragraph" w:styleId="Remetente">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Textodenotaderodap">
    <w:name w:val="footnote text"/>
    <w:basedOn w:val="Normal"/>
    <w:link w:val="TextodenotaderodapCarter"/>
    <w:uiPriority w:val="99"/>
    <w:semiHidden/>
    <w:unhideWhenUsed/>
    <w:rsid w:val="001D4362"/>
    <w:pPr>
      <w:spacing w:after="0" w:line="240" w:lineRule="auto"/>
    </w:pPr>
    <w:rPr>
      <w:szCs w:val="20"/>
    </w:rPr>
  </w:style>
  <w:style w:type="character" w:customStyle="1" w:styleId="TextodenotaderodapCarter">
    <w:name w:val="Texto de nota de rodapé Caráter"/>
    <w:basedOn w:val="Tipodeletrapredefinidodopargrafo"/>
    <w:link w:val="Textodenotaderodap"/>
    <w:uiPriority w:val="99"/>
    <w:semiHidden/>
    <w:rsid w:val="001D4362"/>
    <w:rPr>
      <w:szCs w:val="20"/>
    </w:rPr>
  </w:style>
  <w:style w:type="character" w:styleId="CdigoHTML">
    <w:name w:val="HTML Code"/>
    <w:basedOn w:val="Tipodeletrapredefinidodopargrafo"/>
    <w:uiPriority w:val="99"/>
    <w:semiHidden/>
    <w:unhideWhenUsed/>
    <w:rsid w:val="001D4362"/>
    <w:rPr>
      <w:rFonts w:ascii="Consolas" w:hAnsi="Consolas"/>
      <w:sz w:val="22"/>
      <w:szCs w:val="20"/>
    </w:rPr>
  </w:style>
  <w:style w:type="character" w:styleId="TecladoHTML">
    <w:name w:val="HTML Keyboard"/>
    <w:basedOn w:val="Tipodeletrapredefinidodopargrafo"/>
    <w:uiPriority w:val="99"/>
    <w:semiHidden/>
    <w:unhideWhenUsed/>
    <w:rsid w:val="001D4362"/>
    <w:rPr>
      <w:rFonts w:ascii="Consolas" w:hAnsi="Consolas"/>
      <w:sz w:val="22"/>
      <w:szCs w:val="20"/>
    </w:rPr>
  </w:style>
  <w:style w:type="paragraph" w:styleId="HTMLpr-formatado">
    <w:name w:val="HTML Preformatted"/>
    <w:basedOn w:val="Normal"/>
    <w:link w:val="HTMLpr-formatadoCarter"/>
    <w:uiPriority w:val="99"/>
    <w:semiHidden/>
    <w:unhideWhenUsed/>
    <w:rsid w:val="001D4362"/>
    <w:pPr>
      <w:spacing w:after="0" w:line="240" w:lineRule="auto"/>
    </w:pPr>
    <w:rPr>
      <w:rFonts w:ascii="Consolas" w:hAnsi="Consolas"/>
      <w:szCs w:val="20"/>
    </w:rPr>
  </w:style>
  <w:style w:type="character" w:customStyle="1" w:styleId="HTMLpr-formatadoCarter">
    <w:name w:val="HTML pré-formatado Caráter"/>
    <w:basedOn w:val="Tipodeletrapredefinidodopargrafo"/>
    <w:link w:val="HTMLpr-formatado"/>
    <w:uiPriority w:val="99"/>
    <w:semiHidden/>
    <w:rsid w:val="001D4362"/>
    <w:rPr>
      <w:rFonts w:ascii="Consolas" w:hAnsi="Consolas"/>
      <w:szCs w:val="20"/>
    </w:rPr>
  </w:style>
  <w:style w:type="character" w:styleId="MquinadeescreverHTML">
    <w:name w:val="HTML Typewriter"/>
    <w:basedOn w:val="Tipodeletrapredefinidodopargrafo"/>
    <w:uiPriority w:val="99"/>
    <w:semiHidden/>
    <w:unhideWhenUsed/>
    <w:rsid w:val="001D4362"/>
    <w:rPr>
      <w:rFonts w:ascii="Consolas" w:hAnsi="Consolas"/>
      <w:sz w:val="22"/>
      <w:szCs w:val="20"/>
    </w:rPr>
  </w:style>
  <w:style w:type="paragraph" w:styleId="Textodemacro">
    <w:name w:val="macro"/>
    <w:link w:val="TextodemacroCarte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demacroCarter">
    <w:name w:val="Texto de macro Caráter"/>
    <w:basedOn w:val="Tipodeletrapredefinidodopargrafo"/>
    <w:link w:val="Textodemacro"/>
    <w:uiPriority w:val="99"/>
    <w:semiHidden/>
    <w:rsid w:val="001D4362"/>
    <w:rPr>
      <w:rFonts w:ascii="Consolas" w:hAnsi="Consolas"/>
      <w:szCs w:val="20"/>
    </w:rPr>
  </w:style>
  <w:style w:type="paragraph" w:styleId="Textosimples">
    <w:name w:val="Plain Text"/>
    <w:basedOn w:val="Normal"/>
    <w:link w:val="TextosimplesCarter"/>
    <w:uiPriority w:val="99"/>
    <w:semiHidden/>
    <w:unhideWhenUsed/>
    <w:rsid w:val="001D4362"/>
    <w:pPr>
      <w:spacing w:after="0" w:line="240" w:lineRule="auto"/>
    </w:pPr>
    <w:rPr>
      <w:rFonts w:ascii="Consolas" w:hAnsi="Consolas"/>
      <w:szCs w:val="21"/>
    </w:rPr>
  </w:style>
  <w:style w:type="character" w:customStyle="1" w:styleId="TextosimplesCarter">
    <w:name w:val="Texto simples Caráter"/>
    <w:basedOn w:val="Tipodeletrapredefinidodopargrafo"/>
    <w:link w:val="Textosimples"/>
    <w:uiPriority w:val="99"/>
    <w:semiHidden/>
    <w:rsid w:val="001D4362"/>
    <w:rPr>
      <w:rFonts w:ascii="Consolas" w:hAnsi="Consolas"/>
      <w:szCs w:val="21"/>
    </w:rPr>
  </w:style>
  <w:style w:type="paragraph" w:styleId="Textodebloco">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Hiperligaovisitada">
    <w:name w:val="FollowedHyperlink"/>
    <w:basedOn w:val="Tipodeletrapredefinidodopargrafo"/>
    <w:uiPriority w:val="99"/>
    <w:semiHidden/>
    <w:unhideWhenUsed/>
    <w:rsid w:val="007833A7"/>
    <w:rPr>
      <w:color w:val="783F04" w:themeColor="accent1" w:themeShade="80"/>
      <w:u w:val="single"/>
    </w:rPr>
  </w:style>
  <w:style w:type="character" w:styleId="Hiperligao">
    <w:name w:val="Hyperlink"/>
    <w:basedOn w:val="Tipodeletrapredefinidodopargrafo"/>
    <w:uiPriority w:val="99"/>
    <w:semiHidden/>
    <w:unhideWhenUsed/>
    <w:rsid w:val="007833A7"/>
    <w:rPr>
      <w:color w:val="3A6331" w:themeColor="accent4" w:themeShade="BF"/>
      <w:u w:val="single"/>
    </w:rPr>
  </w:style>
  <w:style w:type="character" w:styleId="TextodoMarcadordePosio">
    <w:name w:val="Placeholder Text"/>
    <w:basedOn w:val="Tipodeletrapredefinidodopargrafo"/>
    <w:uiPriority w:val="99"/>
    <w:semiHidden/>
    <w:rsid w:val="007833A7"/>
    <w:rPr>
      <w:color w:val="595959" w:themeColor="text1" w:themeTint="A6"/>
    </w:rPr>
  </w:style>
  <w:style w:type="character" w:styleId="nfaseIntensa">
    <w:name w:val="Intense Emphasis"/>
    <w:basedOn w:val="Tipodeletrapredefinidodopargrafo"/>
    <w:uiPriority w:val="21"/>
    <w:semiHidden/>
    <w:unhideWhenUsed/>
    <w:qFormat/>
    <w:rsid w:val="00FD262C"/>
    <w:rPr>
      <w:i/>
      <w:iCs/>
      <w:color w:val="B35E06" w:themeColor="accent1" w:themeShade="BF"/>
    </w:rPr>
  </w:style>
  <w:style w:type="paragraph" w:styleId="CitaoIntensa">
    <w:name w:val="Intense Quote"/>
    <w:basedOn w:val="Normal"/>
    <w:next w:val="Normal"/>
    <w:link w:val="CitaoIntensaCarte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CitaoIntensaCarter">
    <w:name w:val="Citação Intensa Caráter"/>
    <w:basedOn w:val="Tipodeletrapredefinidodopargrafo"/>
    <w:link w:val="CitaoIntensa"/>
    <w:uiPriority w:val="30"/>
    <w:semiHidden/>
    <w:rsid w:val="00FD262C"/>
    <w:rPr>
      <w:i/>
      <w:iCs/>
      <w:color w:val="B35E06" w:themeColor="accent1" w:themeShade="BF"/>
    </w:rPr>
  </w:style>
  <w:style w:type="character" w:styleId="RefernciaIntensa">
    <w:name w:val="Intense Reference"/>
    <w:basedOn w:val="Tipodeletrapredefinidodopargrafo"/>
    <w:uiPriority w:val="32"/>
    <w:semiHidden/>
    <w:unhideWhenUsed/>
    <w:qFormat/>
    <w:rsid w:val="00FD262C"/>
    <w:rPr>
      <w:b/>
      <w:bCs/>
      <w:caps w:val="0"/>
      <w:smallCaps/>
      <w:color w:val="B35E06" w:themeColor="accent1" w:themeShade="BF"/>
      <w:spacing w:val="5"/>
    </w:rPr>
  </w:style>
  <w:style w:type="paragraph" w:styleId="PargrafodaLista">
    <w:name w:val="List Paragraph"/>
    <w:basedOn w:val="Normal"/>
    <w:uiPriority w:val="34"/>
    <w:unhideWhenUsed/>
    <w:qFormat/>
    <w:rsid w:val="005A1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silvestre\Downloads\tf03457715.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tf03457715</Template>
  <TotalTime>106</TotalTime>
  <Pages>4</Pages>
  <Words>1073</Words>
  <Characters>5796</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Silvestre</dc:creator>
  <cp:lastModifiedBy>Paula Silvestre</cp:lastModifiedBy>
  <cp:revision>9</cp:revision>
  <dcterms:created xsi:type="dcterms:W3CDTF">2020-03-20T10:03:00Z</dcterms:created>
  <dcterms:modified xsi:type="dcterms:W3CDTF">2020-03-20T11:50:00Z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